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6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7200"/>
        <w:gridCol w:w="3420"/>
      </w:tblGrid>
      <w:tr>
        <w:tc>
          <w:tcPr>
            <w:tcW w:type="dxa" w:w="7200"/>
            <w:tcBorders>
              <w:top w:val="none" w:color="FFFFFF" w:sz="0"/>
              <w:left w:val="none" w:color="FFFFFF" w:sz="0"/>
              <w:bottom w:val="none" w:color="FFFFFF" w:sz="0"/>
              <w:right w:val="none" w:color="FFFFFF" w:sz="0"/>
            </w:tcBorders>
            <w:shd w:fill="0B2042" w:val="clear"/>
            <w:tcMar>
              <w:top w:type="dxa" w:w="220"/>
              <w:left w:type="dxa" w:w="320"/>
              <w:bottom w:type="dxa" w:w="220"/>
              <w:right w:type="dxa" w:w="200"/>
            </w:tcMar>
            <w:vAlign w:val="center"/>
          </w:tcPr>
          <w:p>
            <w:pPr>
              <w:spacing w:after="30"/>
            </w:pPr>
            <w:r>
              <w:drawing>
                <wp:inline distT="0" distB="0" distL="0" distR="0">
                  <wp:extent cx="342900" cy="342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42900" cy="342900"/>
                          </a:xfrm>
                          <a:prstGeom prst="rect">
                            <a:avLst/>
                          </a:prstGeom>
                        </pic:spPr>
                      </pic:pic>
                    </a:graphicData>
                  </a:graphic>
                </wp:inline>
              </w:drawing>
            </w:r>
            <w:r>
              <w:rPr>
                <w:rFonts w:ascii="Calibri" w:cs="Calibri" w:eastAsia="Calibri" w:hAnsi="Calibri"/>
                <w:b/>
                <w:bCs/>
                <w:color w:val="FFFFFF"/>
                <w:spacing w:val="14"/>
                <w:sz w:val="20"/>
                <w:szCs w:val="20"/>
              </w:rPr>
              <w:t xml:space="preserve">   THE ONIKE FRAMEWORK™</w:t>
            </w:r>
          </w:p>
          <w:p>
            <w:pPr>
              <w:spacing w:after="50" w:before="90"/>
            </w:pPr>
            <w:r>
              <w:rPr>
                <w:rFonts w:ascii="Cambria" w:cs="Cambria" w:eastAsia="Cambria" w:hAnsi="Cambria"/>
                <w:b/>
                <w:bCs/>
                <w:color w:val="FFFFFF"/>
                <w:sz w:val="36"/>
                <w:szCs w:val="36"/>
              </w:rPr>
              <w:t xml:space="preserve">International Collaboration Prospectus</w:t>
            </w:r>
          </w:p>
          <w:p>
            <w:pPr>
              <w:spacing w:after="0"/>
            </w:pPr>
            <w:r>
              <w:rPr>
                <w:rFonts w:ascii="Calibri" w:cs="Calibri" w:eastAsia="Calibri" w:hAnsi="Calibri"/>
                <w:i/>
                <w:iCs/>
                <w:color w:val="E7E5DD"/>
                <w:sz w:val="18"/>
                <w:szCs w:val="18"/>
              </w:rPr>
              <w:t xml:space="preserve">Advancing Strategic Growth, Operational Excellence, Sustainability, Ethical Finance and Human Development in Islamic Institutions</w:t>
            </w:r>
          </w:p>
        </w:tc>
        <w:tc>
          <w:tcPr>
            <w:tcW w:type="dxa" w:w="3420"/>
            <w:tcBorders>
              <w:top w:val="none" w:color="FFFFFF" w:sz="0"/>
              <w:left w:val="none" w:color="FFFFFF" w:sz="0"/>
              <w:bottom w:val="none" w:color="FFFFFF" w:sz="0"/>
              <w:right w:val="none" w:color="FFFFFF" w:sz="0"/>
            </w:tcBorders>
            <w:shd w:fill="0B2042" w:val="clear"/>
            <w:tcMar>
              <w:top w:type="dxa" w:w="160"/>
              <w:left w:type="dxa" w:w="100"/>
              <w:bottom w:type="dxa" w:w="0"/>
              <w:right w:type="dxa" w:w="260"/>
            </w:tcMar>
            <w:vAlign w:val="center"/>
          </w:tcPr>
          <w:p>
            <w:pPr>
              <w:jc w:val="center"/>
            </w:pPr>
            <w:r>
              <w:drawing>
                <wp:inline distT="0" distB="0" distL="0" distR="0">
                  <wp:extent cx="933450" cy="1362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933450" cy="1362075"/>
                          </a:xfrm>
                          <a:prstGeom prst="rect">
                            <a:avLst/>
                          </a:prstGeom>
                        </pic:spPr>
                      </pic:pic>
                    </a:graphicData>
                  </a:graphic>
                </wp:inline>
              </w:drawing>
            </w:r>
          </w:p>
        </w:tc>
      </w:tr>
    </w:tbl>
    <w:p>
      <w:pPr>
        <w:spacing w:after="100"/>
      </w:pPr>
    </w:p>
    <w:p>
      <w:pPr>
        <w:spacing w:after="60"/>
      </w:pPr>
      <w:r>
        <w:rPr>
          <w:rFonts w:ascii="Calibri" w:cs="Calibri" w:eastAsia="Calibri" w:hAnsi="Calibri"/>
          <w:b/>
          <w:bCs/>
          <w:color w:val="B08A3D"/>
          <w:spacing w:val="20"/>
          <w:sz w:val="18"/>
          <w:szCs w:val="18"/>
        </w:rPr>
        <w:t xml:space="preserve">PAGE 1  ·  WHO WE ARE</w:t>
      </w:r>
    </w:p>
    <w:p>
      <w:pPr>
        <w:spacing w:after="160" w:before="0"/>
      </w:pPr>
      <w:r>
        <w:rPr>
          <w:rFonts w:ascii="Cambria" w:cs="Cambria" w:eastAsia="Cambria" w:hAnsi="Cambria"/>
          <w:b/>
          <w:bCs/>
          <w:color w:val="0B2042"/>
          <w:sz w:val="40"/>
          <w:szCs w:val="40"/>
        </w:rPr>
        <w:t xml:space="preserve">Transforming Islamic Institutions Through Research, Innovation and Excellence</w:t>
      </w:r>
    </w:p>
    <w:p>
      <w:pPr>
        <w:spacing w:after="90"/>
      </w:pPr>
      <w:r>
        <w:rPr>
          <w:rFonts w:ascii="Calibri" w:cs="Calibri" w:eastAsia="Calibri" w:hAnsi="Calibri"/>
          <w:color w:val="262626"/>
          <w:sz w:val="19"/>
          <w:szCs w:val="19"/>
        </w:rPr>
        <w:t xml:space="preserve">The Onike Framework™ is a research-driven ecosystem of integrated frameworks developed to strengthen Islamic institutions through strategic growth, governance, operational excellence, sustainability, ethical finance, leadership development, artificial intelligence, and Maqāṣid al-Sharī'ah.</w:t>
      </w:r>
    </w:p>
    <w:p>
      <w:pPr>
        <w:spacing w:after="90"/>
      </w:pPr>
      <w:r>
        <w:rPr>
          <w:rFonts w:ascii="Calibri" w:cs="Calibri" w:eastAsia="Calibri" w:hAnsi="Calibri"/>
          <w:color w:val="262626"/>
          <w:sz w:val="19"/>
          <w:szCs w:val="19"/>
        </w:rPr>
        <w:t xml:space="preserve">Designed for universities, Islamic financial institutions, NGOs, waqf organisations, zakat agencies, educational institutions, humanitarian organisations and governments, the framework combines contemporary management science with Islamic principles to provide practical assessment, benchmarking and continuous improvement tools.</w:t>
      </w:r>
    </w:p>
    <w:p>
      <w:pPr>
        <w:spacing w:after="100"/>
      </w:pPr>
      <w:r>
        <w:rPr>
          <w:rFonts w:ascii="Calibri" w:cs="Calibri" w:eastAsia="Calibri" w:hAnsi="Calibri"/>
          <w:color w:val="262626"/>
          <w:sz w:val="19"/>
          <w:szCs w:val="19"/>
        </w:rPr>
        <w:t xml:space="preserve">Unlike conventional excellence models that address isolated organisational functions, the Onike Framework™ provides an integrated ecosystem covering institutions, leaders and individuals.</w:t>
      </w:r>
    </w:p>
    <w:p>
      <w:pPr>
        <w:pBdr>
          <w:bottom w:val="single" w:color="B08A3D" w:sz="6" w:space="4"/>
        </w:pBdr>
        <w:spacing w:after="100" w:before="80"/>
      </w:pPr>
      <w:r>
        <w:rPr>
          <w:rFonts w:ascii="Cambria" w:cs="Cambria" w:eastAsia="Cambria" w:hAnsi="Cambria"/>
          <w:b/>
          <w:bCs/>
          <w:color w:val="0B2042"/>
          <w:sz w:val="26"/>
          <w:szCs w:val="26"/>
        </w:rPr>
        <w:t xml:space="preserve">The Framework Ecosystem</w:t>
      </w:r>
    </w:p>
    <w:p>
      <w:pPr>
        <w:spacing w:after="140" w:before="60"/>
        <w:jc w:val="center"/>
      </w:pPr>
      <w:r>
        <w:drawing>
          <wp:inline distT="0" distB="0" distL="0" distR="0">
            <wp:extent cx="3566160" cy="2228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566160" cy="2228850"/>
                    </a:xfrm>
                    <a:prstGeom prst="rect">
                      <a:avLst/>
                    </a:prstGeom>
                  </pic:spPr>
                </pic:pic>
              </a:graphicData>
            </a:graphic>
          </wp:inline>
        </w:drawing>
      </w:r>
    </w:p>
    <w:p>
      <w:pPr>
        <w:pBdr>
          <w:bottom w:val="single" w:color="B08A3D" w:sz="6" w:space="4"/>
        </w:pBdr>
        <w:spacing w:after="100" w:before="60"/>
      </w:pPr>
      <w:r>
        <w:rPr>
          <w:rFonts w:ascii="Cambria" w:cs="Cambria" w:eastAsia="Cambria" w:hAnsi="Cambria"/>
          <w:b/>
          <w:bCs/>
          <w:color w:val="0B2042"/>
          <w:sz w:val="26"/>
          <w:szCs w:val="26"/>
        </w:rPr>
        <w:t xml:space="preserve">Distinctive Features</w:t>
      </w:r>
    </w:p>
    <w:tbl>
      <w:tblPr>
        <w:tblW w:type="dxa" w:w="106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310"/>
        <w:gridCol w:w="5310"/>
      </w:tblGrid>
      <w:tr>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Evidence-based methodologies</w:t>
            </w:r>
          </w:p>
        </w:tc>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AI-assisted diagnostics and coaching</w:t>
            </w:r>
          </w:p>
        </w:tc>
      </w:tr>
      <w:tr>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Digital assessment platform</w:t>
            </w:r>
          </w:p>
        </w:tc>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Institutional maturity assessment</w:t>
            </w:r>
          </w:p>
        </w:tc>
      </w:tr>
      <w:tr>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Automated reporting</w:t>
            </w:r>
          </w:p>
        </w:tc>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Professional certification</w:t>
            </w:r>
          </w:p>
        </w:tc>
      </w:tr>
      <w:tr>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International benchmarking</w:t>
            </w:r>
          </w:p>
        </w:tc>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Research-ready architecture</w:t>
            </w:r>
          </w:p>
        </w:tc>
      </w:tr>
      <w:tr>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Multilingual platform</w:t>
            </w:r>
          </w:p>
        </w:tc>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tc>
      </w:tr>
    </w:tbl>
    <w:p>
      <w:pPr>
        <w:sectPr>
          <w:footerReference w:type="default" r:id="rId7"/>
          <w:pgSz w:w="12240" w:h="15840" w:orient="portrait"/>
          <w:pgMar w:top="720" w:right="810" w:bottom="720" w:left="810" w:header="708" w:footer="708" w:gutter="0"/>
          <w:pgNumType/>
          <w:docGrid w:linePitch="360"/>
        </w:sectPr>
      </w:pPr>
    </w:p>
    <w:p>
      <w:pPr>
        <w:spacing w:after="60"/>
      </w:pPr>
      <w:r>
        <w:rPr>
          <w:rFonts w:ascii="Calibri" w:cs="Calibri" w:eastAsia="Calibri" w:hAnsi="Calibri"/>
          <w:b/>
          <w:bCs/>
          <w:color w:val="B08A3D"/>
          <w:spacing w:val="20"/>
          <w:sz w:val="18"/>
          <w:szCs w:val="18"/>
        </w:rPr>
        <w:t xml:space="preserve">PAGE 2  ·  FRAMEWORK PORTFOLIO</w:t>
      </w:r>
    </w:p>
    <w:p>
      <w:pPr>
        <w:spacing w:after="160" w:before="0"/>
      </w:pPr>
      <w:r>
        <w:rPr>
          <w:rFonts w:ascii="Cambria" w:cs="Cambria" w:eastAsia="Cambria" w:hAnsi="Cambria"/>
          <w:b/>
          <w:bCs/>
          <w:color w:val="0B2042"/>
          <w:sz w:val="40"/>
          <w:szCs w:val="40"/>
        </w:rPr>
        <w:t xml:space="preserve">Current Development Status</w:t>
      </w:r>
    </w:p>
    <w:p>
      <w:pPr>
        <w:spacing w:after="140"/>
      </w:pPr>
      <w:r>
        <w:rPr>
          <w:rFonts w:ascii="Calibri" w:cs="Calibri" w:eastAsia="Calibri" w:hAnsi="Calibri"/>
          <w:color w:val="262626"/>
          <w:sz w:val="19"/>
          <w:szCs w:val="19"/>
        </w:rPr>
        <w:t xml:space="preserve">From advanced conceptual frameworks with live pilot data to emerging research streams, each model in the ecosystem progresses through a disciplined research-to-deployment pathway.</w:t>
      </w:r>
    </w:p>
    <w:tbl>
      <w:tblPr>
        <w:tblW w:type="dxa" w:w="106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310"/>
        <w:gridCol w:w="5310"/>
      </w:tblGrid>
      <w:tr>
        <w:tc>
          <w:tcPr>
            <w:tcW w:type="dxa" w:w="5310"/>
            <w:tcBorders>
              <w:top w:val="none" w:color="FFFFFF" w:sz="0"/>
              <w:left w:val="none" w:color="FFFFFF" w:sz="0"/>
              <w:bottom w:val="none" w:color="FFFFFF" w:sz="0"/>
              <w:right w:val="none" w:color="FFFFFF" w:sz="0"/>
            </w:tcBorders>
            <w:tcMar>
              <w:top w:type="dxa" w:w="0"/>
              <w:left w:type="dxa" w:w="0"/>
              <w:bottom w:type="dxa" w:w="90"/>
              <w:right w:type="dxa" w:w="80"/>
            </w:tcMar>
            <w:vAlign w:val="center"/>
          </w:tcPr>
          <w:tbl>
            <w:tblPr>
              <w:tblW w:type="dxa" w:w="51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150"/>
            </w:tblGrid>
            <w:tr>
              <w:tc>
                <w:tcPr>
                  <w:tcBorders>
                    <w:top w:val="none" w:color="FFFFFF" w:sz="0"/>
                    <w:left w:val="none" w:color="FFFFFF" w:sz="0"/>
                    <w:bottom w:val="none" w:color="FFFFFF" w:sz="0"/>
                    <w:right w:val="none" w:color="FFFFFF" w:sz="0"/>
                  </w:tcBorders>
                  <w:shd w:fill="FAF8F2" w:val="clear"/>
                  <w:tcMar>
                    <w:top w:type="dxa" w:w="110"/>
                    <w:left w:type="dxa" w:w="160"/>
                    <w:bottom w:type="dxa" w:w="110"/>
                    <w:right w:type="dxa" w:w="160"/>
                  </w:tcMar>
                  <w:vAlign w:val="center"/>
                </w:tcPr>
                <w:p>
                  <w:pPr>
                    <w:spacing w:after="40"/>
                  </w:pPr>
                  <w:r>
                    <w:rPr>
                      <w:rFonts w:ascii="Cambria" w:cs="Cambria" w:eastAsia="Cambria" w:hAnsi="Cambria"/>
                      <w:b/>
                      <w:bCs/>
                      <w:color w:val="0B2042"/>
                      <w:sz w:val="22"/>
                      <w:szCs w:val="22"/>
                    </w:rPr>
                    <w:t xml:space="preserve">OFSGOE™</w:t>
                  </w:r>
                </w:p>
                <w:p>
                  <w:pPr>
                    <w:spacing w:after="30"/>
                  </w:pPr>
                  <w:r>
                    <w:rPr>
                      <w:rFonts w:ascii="Calibri" w:cs="Calibri" w:eastAsia="Calibri" w:hAnsi="Calibri"/>
                      <w:b/>
                      <w:bCs/>
                      <w:color w:val="0C4E2A"/>
                      <w:spacing w:val="10"/>
                      <w:sz w:val="15"/>
                      <w:szCs w:val="15"/>
                    </w:rPr>
                    <w:t xml:space="preserve">STATUS</w:t>
                  </w:r>
                </w:p>
                <w:p>
                  <w:pPr>
                    <w:spacing w:after="0"/>
                  </w:pPr>
                  <w:r>
                    <w:rPr>
                      <w:rFonts w:ascii="Calibri" w:cs="Calibri" w:eastAsia="Calibri" w:hAnsi="Calibri"/>
                      <w:color w:val="3A3A3A"/>
                      <w:sz w:val="18"/>
                      <w:szCs w:val="18"/>
                    </w:rPr>
                    <w:t xml:space="preserve">Advanced conceptual framework supported by multidisciplinary research, with pilot exercises conducted on four Islamic institutions.</w:t>
                  </w:r>
                </w:p>
              </w:tc>
            </w:tr>
          </w:tbl>
          <w:p/>
        </w:tc>
        <w:tc>
          <w:tcPr>
            <w:tcW w:type="dxa" w:w="5310"/>
            <w:tcBorders>
              <w:top w:val="none" w:color="FFFFFF" w:sz="0"/>
              <w:left w:val="none" w:color="FFFFFF" w:sz="0"/>
              <w:bottom w:val="none" w:color="FFFFFF" w:sz="0"/>
              <w:right w:val="none" w:color="FFFFFF" w:sz="0"/>
            </w:tcBorders>
            <w:tcMar>
              <w:top w:type="dxa" w:w="0"/>
              <w:left w:type="dxa" w:w="80"/>
              <w:bottom w:type="dxa" w:w="90"/>
              <w:right w:type="dxa" w:w="0"/>
            </w:tcMar>
            <w:vAlign w:val="center"/>
          </w:tcPr>
          <w:tbl>
            <w:tblPr>
              <w:tblW w:type="dxa" w:w="51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150"/>
            </w:tblGrid>
            <w:tr>
              <w:tc>
                <w:tcPr>
                  <w:tcBorders>
                    <w:top w:val="none" w:color="FFFFFF" w:sz="0"/>
                    <w:left w:val="none" w:color="FFFFFF" w:sz="0"/>
                    <w:bottom w:val="none" w:color="FFFFFF" w:sz="0"/>
                    <w:right w:val="none" w:color="FFFFFF" w:sz="0"/>
                  </w:tcBorders>
                  <w:shd w:fill="FAF8F2" w:val="clear"/>
                  <w:tcMar>
                    <w:top w:type="dxa" w:w="110"/>
                    <w:left w:type="dxa" w:w="160"/>
                    <w:bottom w:type="dxa" w:w="110"/>
                    <w:right w:type="dxa" w:w="160"/>
                  </w:tcMar>
                  <w:vAlign w:val="center"/>
                </w:tcPr>
                <w:p>
                  <w:pPr>
                    <w:spacing w:after="40"/>
                  </w:pPr>
                  <w:r>
                    <w:rPr>
                      <w:rFonts w:ascii="Cambria" w:cs="Cambria" w:eastAsia="Cambria" w:hAnsi="Cambria"/>
                      <w:b/>
                      <w:bCs/>
                      <w:color w:val="0B2042"/>
                      <w:sz w:val="22"/>
                      <w:szCs w:val="22"/>
                    </w:rPr>
                    <w:t xml:space="preserve">OFESI™</w:t>
                  </w:r>
                </w:p>
                <w:p>
                  <w:pPr>
                    <w:spacing w:after="30"/>
                  </w:pPr>
                  <w:r>
                    <w:rPr>
                      <w:rFonts w:ascii="Calibri" w:cs="Calibri" w:eastAsia="Calibri" w:hAnsi="Calibri"/>
                      <w:b/>
                      <w:bCs/>
                      <w:color w:val="0C4E2A"/>
                      <w:spacing w:val="10"/>
                      <w:sz w:val="15"/>
                      <w:szCs w:val="15"/>
                    </w:rPr>
                    <w:t xml:space="preserve">STATUS</w:t>
                  </w:r>
                </w:p>
                <w:p>
                  <w:pPr>
                    <w:spacing w:after="0"/>
                  </w:pPr>
                  <w:r>
                    <w:rPr>
                      <w:rFonts w:ascii="Calibri" w:cs="Calibri" w:eastAsia="Calibri" w:hAnsi="Calibri"/>
                      <w:color w:val="3A3A3A"/>
                      <w:sz w:val="18"/>
                      <w:szCs w:val="18"/>
                    </w:rPr>
                    <w:t xml:space="preserve">Online assessment platform with automated scoring, AI-assisted recommendations and digital maturity reports — piloted with NASFAT Imams.</w:t>
                  </w:r>
                </w:p>
              </w:tc>
            </w:tr>
          </w:tbl>
          <w:p/>
        </w:tc>
      </w:tr>
      <w:tr>
        <w:tc>
          <w:tcPr>
            <w:tcW w:type="dxa" w:w="5310"/>
            <w:tcBorders>
              <w:top w:val="none" w:color="FFFFFF" w:sz="0"/>
              <w:left w:val="none" w:color="FFFFFF" w:sz="0"/>
              <w:bottom w:val="none" w:color="FFFFFF" w:sz="0"/>
              <w:right w:val="none" w:color="FFFFFF" w:sz="0"/>
            </w:tcBorders>
            <w:tcMar>
              <w:top w:type="dxa" w:w="0"/>
              <w:left w:type="dxa" w:w="0"/>
              <w:bottom w:type="dxa" w:w="90"/>
              <w:right w:type="dxa" w:w="80"/>
            </w:tcMar>
            <w:vAlign w:val="center"/>
          </w:tcPr>
          <w:tbl>
            <w:tblPr>
              <w:tblW w:type="dxa" w:w="51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150"/>
            </w:tblGrid>
            <w:tr>
              <w:tc>
                <w:tcPr>
                  <w:tcBorders>
                    <w:top w:val="none" w:color="FFFFFF" w:sz="0"/>
                    <w:left w:val="none" w:color="FFFFFF" w:sz="0"/>
                    <w:bottom w:val="none" w:color="FFFFFF" w:sz="0"/>
                    <w:right w:val="none" w:color="FFFFFF" w:sz="0"/>
                  </w:tcBorders>
                  <w:shd w:fill="FAF8F2" w:val="clear"/>
                  <w:tcMar>
                    <w:top w:type="dxa" w:w="110"/>
                    <w:left w:type="dxa" w:w="160"/>
                    <w:bottom w:type="dxa" w:w="110"/>
                    <w:right w:type="dxa" w:w="160"/>
                  </w:tcMar>
                  <w:vAlign w:val="center"/>
                </w:tcPr>
                <w:p>
                  <w:pPr>
                    <w:spacing w:after="40"/>
                  </w:pPr>
                  <w:r>
                    <w:rPr>
                      <w:rFonts w:ascii="Cambria" w:cs="Cambria" w:eastAsia="Cambria" w:hAnsi="Cambria"/>
                      <w:b/>
                      <w:bCs/>
                      <w:color w:val="0B2042"/>
                      <w:sz w:val="22"/>
                      <w:szCs w:val="22"/>
                    </w:rPr>
                    <w:t xml:space="preserve">SUSTAIN™</w:t>
                  </w:r>
                </w:p>
                <w:p>
                  <w:pPr>
                    <w:spacing w:after="30"/>
                  </w:pPr>
                  <w:r>
                    <w:rPr>
                      <w:rFonts w:ascii="Calibri" w:cs="Calibri" w:eastAsia="Calibri" w:hAnsi="Calibri"/>
                      <w:b/>
                      <w:bCs/>
                      <w:color w:val="B08A3D"/>
                      <w:spacing w:val="10"/>
                      <w:sz w:val="15"/>
                      <w:szCs w:val="15"/>
                    </w:rPr>
                    <w:t xml:space="preserve">STATUS</w:t>
                  </w:r>
                </w:p>
                <w:p>
                  <w:pPr>
                    <w:spacing w:after="0"/>
                  </w:pPr>
                  <w:r>
                    <w:rPr>
                      <w:rFonts w:ascii="Calibri" w:cs="Calibri" w:eastAsia="Calibri" w:hAnsi="Calibri"/>
                      <w:color w:val="3A3A3A"/>
                      <w:sz w:val="18"/>
                      <w:szCs w:val="18"/>
                    </w:rPr>
                    <w:t xml:space="preserve">Institutional and individual sustainability assessment framework — currently in research and implementation phase.</w:t>
                  </w:r>
                </w:p>
              </w:tc>
            </w:tr>
          </w:tbl>
          <w:p/>
        </w:tc>
        <w:tc>
          <w:tcPr>
            <w:tcW w:type="dxa" w:w="5310"/>
            <w:tcBorders>
              <w:top w:val="none" w:color="FFFFFF" w:sz="0"/>
              <w:left w:val="none" w:color="FFFFFF" w:sz="0"/>
              <w:bottom w:val="none" w:color="FFFFFF" w:sz="0"/>
              <w:right w:val="none" w:color="FFFFFF" w:sz="0"/>
            </w:tcBorders>
            <w:tcMar>
              <w:top w:type="dxa" w:w="0"/>
              <w:left w:type="dxa" w:w="80"/>
              <w:bottom w:type="dxa" w:w="90"/>
              <w:right w:type="dxa" w:w="0"/>
            </w:tcMar>
            <w:vAlign w:val="center"/>
          </w:tcPr>
          <w:tbl>
            <w:tblPr>
              <w:tblW w:type="dxa" w:w="51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150"/>
            </w:tblGrid>
            <w:tr>
              <w:tc>
                <w:tcPr>
                  <w:tcBorders>
                    <w:top w:val="none" w:color="FFFFFF" w:sz="0"/>
                    <w:left w:val="none" w:color="FFFFFF" w:sz="0"/>
                    <w:bottom w:val="none" w:color="FFFFFF" w:sz="0"/>
                    <w:right w:val="none" w:color="FFFFFF" w:sz="0"/>
                  </w:tcBorders>
                  <w:shd w:fill="FAF8F2" w:val="clear"/>
                  <w:tcMar>
                    <w:top w:type="dxa" w:w="110"/>
                    <w:left w:type="dxa" w:w="160"/>
                    <w:bottom w:type="dxa" w:w="110"/>
                    <w:right w:type="dxa" w:w="160"/>
                  </w:tcMar>
                  <w:vAlign w:val="center"/>
                </w:tcPr>
                <w:p>
                  <w:pPr>
                    <w:spacing w:after="40"/>
                  </w:pPr>
                  <w:r>
                    <w:rPr>
                      <w:rFonts w:ascii="Cambria" w:cs="Cambria" w:eastAsia="Cambria" w:hAnsi="Cambria"/>
                      <w:b/>
                      <w:bCs/>
                      <w:color w:val="0B2042"/>
                      <w:sz w:val="22"/>
                      <w:szCs w:val="22"/>
                    </w:rPr>
                    <w:t xml:space="preserve">PURPOSE™ (OPDF)</w:t>
                  </w:r>
                </w:p>
                <w:p>
                  <w:pPr>
                    <w:spacing w:after="30"/>
                  </w:pPr>
                  <w:r>
                    <w:rPr>
                      <w:rFonts w:ascii="Calibri" w:cs="Calibri" w:eastAsia="Calibri" w:hAnsi="Calibri"/>
                      <w:b/>
                      <w:bCs/>
                      <w:color w:val="B08A3D"/>
                      <w:spacing w:val="10"/>
                      <w:sz w:val="15"/>
                      <w:szCs w:val="15"/>
                    </w:rPr>
                    <w:t xml:space="preserve">STATUS</w:t>
                  </w:r>
                </w:p>
                <w:p>
                  <w:pPr>
                    <w:spacing w:after="0"/>
                  </w:pPr>
                  <w:r>
                    <w:rPr>
                      <w:rFonts w:ascii="Calibri" w:cs="Calibri" w:eastAsia="Calibri" w:hAnsi="Calibri"/>
                      <w:color w:val="3A3A3A"/>
                      <w:sz w:val="18"/>
                      <w:szCs w:val="18"/>
                    </w:rPr>
                    <w:t xml:space="preserve">Purpose Discovery Framework supporting leadership readiness, career alignment and personal development — prototype and research development.</w:t>
                  </w:r>
                </w:p>
              </w:tc>
            </w:tr>
          </w:tbl>
          <w:p/>
        </w:tc>
      </w:tr>
      <w:tr>
        <w:tc>
          <w:tcPr>
            <w:tcW w:type="dxa" w:w="5310"/>
            <w:tcBorders>
              <w:top w:val="none" w:color="FFFFFF" w:sz="0"/>
              <w:left w:val="none" w:color="FFFFFF" w:sz="0"/>
              <w:bottom w:val="none" w:color="FFFFFF" w:sz="0"/>
              <w:right w:val="none" w:color="FFFFFF" w:sz="0"/>
            </w:tcBorders>
            <w:tcMar>
              <w:top w:type="dxa" w:w="0"/>
              <w:left w:type="dxa" w:w="0"/>
              <w:bottom w:type="dxa" w:w="0"/>
              <w:right w:type="dxa" w:w="80"/>
            </w:tcMar>
            <w:vAlign w:val="center"/>
          </w:tcPr>
          <w:tbl>
            <w:tblPr>
              <w:tblW w:type="dxa" w:w="51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150"/>
            </w:tblGrid>
            <w:tr>
              <w:tc>
                <w:tcPr>
                  <w:tcBorders>
                    <w:top w:val="none" w:color="FFFFFF" w:sz="0"/>
                    <w:left w:val="none" w:color="FFFFFF" w:sz="0"/>
                    <w:bottom w:val="none" w:color="FFFFFF" w:sz="0"/>
                    <w:right w:val="none" w:color="FFFFFF" w:sz="0"/>
                  </w:tcBorders>
                  <w:shd w:fill="FAF8F2" w:val="clear"/>
                  <w:tcMar>
                    <w:top w:type="dxa" w:w="110"/>
                    <w:left w:type="dxa" w:w="160"/>
                    <w:bottom w:type="dxa" w:w="110"/>
                    <w:right w:type="dxa" w:w="160"/>
                  </w:tcMar>
                  <w:vAlign w:val="center"/>
                </w:tcPr>
                <w:p>
                  <w:pPr>
                    <w:spacing w:after="40"/>
                  </w:pPr>
                  <w:r>
                    <w:rPr>
                      <w:rFonts w:ascii="Cambria" w:cs="Cambria" w:eastAsia="Cambria" w:hAnsi="Cambria"/>
                      <w:b/>
                      <w:bCs/>
                      <w:color w:val="0B2042"/>
                      <w:sz w:val="22"/>
                      <w:szCs w:val="22"/>
                    </w:rPr>
                    <w:t xml:space="preserve">OITM™</w:t>
                  </w:r>
                </w:p>
                <w:p>
                  <w:pPr>
                    <w:spacing w:after="30"/>
                  </w:pPr>
                  <w:r>
                    <w:rPr>
                      <w:rFonts w:ascii="Calibri" w:cs="Calibri" w:eastAsia="Calibri" w:hAnsi="Calibri"/>
                      <w:b/>
                      <w:bCs/>
                      <w:color w:val="0B2042"/>
                      <w:spacing w:val="10"/>
                      <w:sz w:val="15"/>
                      <w:szCs w:val="15"/>
                    </w:rPr>
                    <w:t xml:space="preserve">STATUS</w:t>
                  </w:r>
                </w:p>
                <w:p>
                  <w:pPr>
                    <w:spacing w:after="0"/>
                  </w:pPr>
                  <w:r>
                    <w:rPr>
                      <w:rFonts w:ascii="Calibri" w:cs="Calibri" w:eastAsia="Calibri" w:hAnsi="Calibri"/>
                      <w:color w:val="3A3A3A"/>
                      <w:sz w:val="18"/>
                      <w:szCs w:val="18"/>
                    </w:rPr>
                    <w:t xml:space="preserve">Islamic Time Matrix integrating productivity diagnostics, time stewardship and AI-assisted coaching — advanced conceptual development.</w:t>
                  </w:r>
                </w:p>
              </w:tc>
            </w:tr>
          </w:tbl>
          <w:p/>
        </w:tc>
        <w:tc>
          <w:tcPr>
            <w:tcW w:type="dxa" w:w="5310"/>
            <w:tcBorders>
              <w:top w:val="none" w:color="FFFFFF" w:sz="0"/>
              <w:left w:val="none" w:color="FFFFFF" w:sz="0"/>
              <w:bottom w:val="none" w:color="FFFFFF" w:sz="0"/>
              <w:right w:val="none" w:color="FFFFFF" w:sz="0"/>
            </w:tcBorders>
            <w:tcMar>
              <w:top w:type="dxa" w:w="0"/>
              <w:left w:type="dxa" w:w="80"/>
              <w:bottom w:type="dxa" w:w="0"/>
              <w:right w:type="dxa" w:w="0"/>
            </w:tcMar>
            <w:vAlign w:val="center"/>
          </w:tcPr>
          <w:tbl>
            <w:tblPr>
              <w:tblW w:type="dxa" w:w="51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150"/>
            </w:tblGrid>
            <w:tr>
              <w:tc>
                <w:tcPr>
                  <w:tcBorders>
                    <w:top w:val="none" w:color="FFFFFF" w:sz="0"/>
                    <w:left w:val="none" w:color="FFFFFF" w:sz="0"/>
                    <w:bottom w:val="none" w:color="FFFFFF" w:sz="0"/>
                    <w:right w:val="none" w:color="FFFFFF" w:sz="0"/>
                  </w:tcBorders>
                  <w:shd w:fill="FAF8F2" w:val="clear"/>
                  <w:tcMar>
                    <w:top w:type="dxa" w:w="110"/>
                    <w:left w:type="dxa" w:w="160"/>
                    <w:bottom w:type="dxa" w:w="110"/>
                    <w:right w:type="dxa" w:w="160"/>
                  </w:tcMar>
                  <w:vAlign w:val="center"/>
                </w:tcPr>
                <w:p>
                  <w:pPr>
                    <w:spacing w:after="40"/>
                  </w:pPr>
                  <w:r>
                    <w:rPr>
                      <w:rFonts w:ascii="Cambria" w:cs="Cambria" w:eastAsia="Cambria" w:hAnsi="Cambria"/>
                      <w:b/>
                      <w:bCs/>
                      <w:color w:val="0B2042"/>
                      <w:sz w:val="22"/>
                      <w:szCs w:val="22"/>
                    </w:rPr>
                    <w:t xml:space="preserve">OFIKI™, OIER™, OTIIE™, OFIS™</w:t>
                  </w:r>
                </w:p>
                <w:p>
                  <w:pPr>
                    <w:spacing w:after="30"/>
                  </w:pPr>
                  <w:r>
                    <w:rPr>
                      <w:rFonts w:ascii="Calibri" w:cs="Calibri" w:eastAsia="Calibri" w:hAnsi="Calibri"/>
                      <w:b/>
                      <w:bCs/>
                      <w:color w:val="0B2042"/>
                      <w:spacing w:val="10"/>
                      <w:sz w:val="15"/>
                      <w:szCs w:val="15"/>
                    </w:rPr>
                    <w:t xml:space="preserve">STATUS</w:t>
                  </w:r>
                </w:p>
                <w:p>
                  <w:pPr>
                    <w:spacing w:after="0"/>
                  </w:pPr>
                  <w:r>
                    <w:rPr>
                      <w:rFonts w:ascii="Calibri" w:cs="Calibri" w:eastAsia="Calibri" w:hAnsi="Calibri"/>
                      <w:color w:val="3A3A3A"/>
                      <w:sz w:val="18"/>
                      <w:szCs w:val="18"/>
                    </w:rPr>
                    <w:t xml:space="preserve">Knowledge integration for youth, research excellence, innovation and Islamic finance sustainability — conceptual and emerging development.</w:t>
                  </w:r>
                </w:p>
              </w:tc>
            </w:tr>
          </w:tbl>
          <w:p/>
        </w:tc>
      </w:tr>
    </w:tbl>
    <w:p>
      <w:pPr>
        <w:pBdr>
          <w:bottom w:val="single" w:color="B08A3D" w:sz="6" w:space="4"/>
        </w:pBdr>
        <w:spacing w:after="100" w:before="130"/>
      </w:pPr>
      <w:r>
        <w:rPr>
          <w:rFonts w:ascii="Cambria" w:cs="Cambria" w:eastAsia="Cambria" w:hAnsi="Cambria"/>
          <w:b/>
          <w:bCs/>
          <w:color w:val="0B2042"/>
          <w:sz w:val="26"/>
          <w:szCs w:val="26"/>
        </w:rPr>
        <w:t xml:space="preserve">The Digital Assessment Ecosystem</w:t>
      </w:r>
    </w:p>
    <w:p>
      <w:pPr>
        <w:spacing w:after="110"/>
      </w:pPr>
      <w:r>
        <w:rPr>
          <w:rFonts w:ascii="Calibri" w:cs="Calibri" w:eastAsia="Calibri" w:hAnsi="Calibri"/>
          <w:color w:val="262626"/>
          <w:sz w:val="19"/>
          <w:szCs w:val="19"/>
        </w:rPr>
        <w:t xml:space="preserve">Live screens from the onikeframework.org digital platform, where institutions complete assessments, receive AI-assisted maturity scores, and verify credentials through a public certification registry.</w:t>
      </w:r>
    </w:p>
    <w:tbl>
      <w:tblPr>
        <w:tblW w:type="dxa" w:w="106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310"/>
        <w:gridCol w:w="5310"/>
      </w:tblGrid>
      <w:tr>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50"/>
              <w:jc w:val="center"/>
            </w:pPr>
            <w:r>
              <w:drawing>
                <wp:inline distT="0" distB="0" distL="0" distR="0">
                  <wp:extent cx="1638300" cy="3019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638300" cy="3019425"/>
                          </a:xfrm>
                          <a:prstGeom prst="rect">
                            <a:avLst/>
                          </a:prstGeom>
                        </pic:spPr>
                      </pic:pic>
                    </a:graphicData>
                  </a:graphic>
                </wp:inline>
              </w:drawing>
            </w:r>
          </w:p>
          <w:p>
            <w:pPr>
              <w:jc w:val="center"/>
            </w:pPr>
            <w:r>
              <w:rPr>
                <w:rFonts w:ascii="Calibri" w:cs="Calibri" w:eastAsia="Calibri" w:hAnsi="Calibri"/>
                <w:i/>
                <w:iCs/>
                <w:color w:val="5B5F66"/>
                <w:sz w:val="16"/>
                <w:szCs w:val="16"/>
              </w:rPr>
              <w:t xml:space="preserve">OFESI™ Digital Assessment Portal</w:t>
            </w:r>
          </w:p>
        </w:tc>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50"/>
              <w:jc w:val="center"/>
            </w:pPr>
            <w:r>
              <w:drawing>
                <wp:inline distT="0" distB="0" distL="0" distR="0">
                  <wp:extent cx="1638300" cy="27336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1638300" cy="2733675"/>
                          </a:xfrm>
                          <a:prstGeom prst="rect">
                            <a:avLst/>
                          </a:prstGeom>
                        </pic:spPr>
                      </pic:pic>
                    </a:graphicData>
                  </a:graphic>
                </wp:inline>
              </w:drawing>
            </w:r>
          </w:p>
          <w:p>
            <w:pPr>
              <w:jc w:val="center"/>
            </w:pPr>
            <w:r>
              <w:rPr>
                <w:rFonts w:ascii="Calibri" w:cs="Calibri" w:eastAsia="Calibri" w:hAnsi="Calibri"/>
                <w:i/>
                <w:iCs/>
                <w:color w:val="5B5F66"/>
                <w:sz w:val="16"/>
                <w:szCs w:val="16"/>
              </w:rPr>
              <w:t xml:space="preserve">Digital Certification &amp; Verification Registry</w:t>
            </w:r>
          </w:p>
        </w:tc>
      </w:tr>
    </w:tbl>
    <w:p>
      <w:pPr>
        <w:sectPr>
          <w:footerReference w:type="default" r:id="rId8"/>
          <w:pgSz w:w="12240" w:h="15840" w:orient="portrait"/>
          <w:pgMar w:top="720" w:right="810" w:bottom="720" w:left="810" w:header="708" w:footer="708" w:gutter="0"/>
          <w:pgNumType/>
          <w:docGrid w:linePitch="360"/>
        </w:sectPr>
      </w:pPr>
    </w:p>
    <w:p>
      <w:pPr>
        <w:spacing w:after="60"/>
      </w:pPr>
      <w:r>
        <w:rPr>
          <w:rFonts w:ascii="Calibri" w:cs="Calibri" w:eastAsia="Calibri" w:hAnsi="Calibri"/>
          <w:b/>
          <w:bCs/>
          <w:color w:val="B08A3D"/>
          <w:spacing w:val="20"/>
          <w:sz w:val="18"/>
          <w:szCs w:val="18"/>
        </w:rPr>
        <w:t xml:space="preserve">PAGE 3  ·  IMPLEMENTATION ROADMAP &amp; PILOT OPPORTUNITIES</w:t>
      </w:r>
    </w:p>
    <w:p>
      <w:pPr>
        <w:spacing w:after="160" w:before="0"/>
      </w:pPr>
      <w:r>
        <w:rPr>
          <w:rFonts w:ascii="Cambria" w:cs="Cambria" w:eastAsia="Cambria" w:hAnsi="Cambria"/>
          <w:b/>
          <w:bCs/>
          <w:color w:val="0B2042"/>
          <w:sz w:val="40"/>
          <w:szCs w:val="40"/>
        </w:rPr>
        <w:t xml:space="preserve">From Engagement to Impact</w:t>
      </w:r>
    </w:p>
    <w:p>
      <w:pPr>
        <w:spacing w:after="90"/>
      </w:pPr>
      <w:r>
        <w:rPr>
          <w:rFonts w:ascii="Calibri" w:cs="Calibri" w:eastAsia="Calibri" w:hAnsi="Calibri"/>
          <w:color w:val="262626"/>
          <w:sz w:val="19"/>
          <w:szCs w:val="19"/>
        </w:rPr>
        <w:t xml:space="preserve">A nine-stage pathway carries every partner institution from first engagement to measurable, certified impact.</w:t>
      </w:r>
    </w:p>
    <w:p>
      <w:pPr>
        <w:spacing w:after="120"/>
        <w:jc w:val="center"/>
      </w:pPr>
      <w:r>
        <w:drawing>
          <wp:inline distT="0" distB="0" distL="0" distR="0">
            <wp:extent cx="3619500" cy="2571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3619500" cy="2571750"/>
                    </a:xfrm>
                    <a:prstGeom prst="rect">
                      <a:avLst/>
                    </a:prstGeom>
                  </pic:spPr>
                </pic:pic>
              </a:graphicData>
            </a:graphic>
          </wp:inline>
        </w:drawing>
      </w:r>
    </w:p>
    <w:tbl>
      <w:tblPr>
        <w:tblW w:type="dxa" w:w="106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100"/>
        <w:gridCol w:w="5520"/>
      </w:tblGrid>
      <w:tr>
        <w:tc>
          <w:tcPr>
            <w:tcW w:type="dxa" w:w="5100"/>
            <w:tcBorders>
              <w:top w:val="none" w:color="FFFFFF" w:sz="0"/>
              <w:left w:val="none" w:color="FFFFFF" w:sz="0"/>
              <w:bottom w:val="none" w:color="FFFFFF" w:sz="0"/>
              <w:right w:val="none" w:color="FFFFFF" w:sz="0"/>
            </w:tcBorders>
            <w:tcMar>
              <w:top w:type="dxa" w:w="0"/>
              <w:left w:type="dxa" w:w="0"/>
              <w:bottom w:type="dxa" w:w="0"/>
              <w:right w:type="dxa" w:w="100"/>
            </w:tcMar>
            <w:vAlign w:val="center"/>
          </w:tcPr>
          <w:p>
            <w:pPr>
              <w:pBdr>
                <w:bottom w:val="single" w:color="B08A3D" w:sz="6" w:space="4"/>
              </w:pBdr>
              <w:spacing w:after="100" w:before="60"/>
            </w:pPr>
            <w:r>
              <w:rPr>
                <w:rFonts w:ascii="Cambria" w:cs="Cambria" w:eastAsia="Cambria" w:hAnsi="Cambria"/>
                <w:b/>
                <w:bCs/>
                <w:color w:val="0B2042"/>
                <w:sz w:val="26"/>
                <w:szCs w:val="26"/>
              </w:rPr>
              <w:t xml:space="preserve">Governance Model</w:t>
            </w:r>
          </w:p>
          <w:p>
            <w:pPr>
              <w:spacing w:after="0"/>
              <w:jc w:val="center"/>
            </w:pPr>
            <w:r>
              <w:drawing>
                <wp:inline distT="0" distB="0" distL="0" distR="0">
                  <wp:extent cx="2238375" cy="2286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238375" cy="2286000"/>
                          </a:xfrm>
                          <a:prstGeom prst="rect">
                            <a:avLst/>
                          </a:prstGeom>
                        </pic:spPr>
                      </pic:pic>
                    </a:graphicData>
                  </a:graphic>
                </wp:inline>
              </w:drawing>
            </w:r>
          </w:p>
        </w:tc>
        <w:tc>
          <w:tcPr>
            <w:tcW w:type="dxa" w:w="5520"/>
            <w:tcBorders>
              <w:top w:val="none" w:color="FFFFFF" w:sz="0"/>
              <w:left w:val="none" w:color="FFFFFF" w:sz="0"/>
              <w:bottom w:val="none" w:color="FFFFFF" w:sz="0"/>
              <w:right w:val="none" w:color="FFFFFF" w:sz="0"/>
            </w:tcBorders>
            <w:tcMar>
              <w:top w:type="dxa" w:w="0"/>
              <w:left w:type="dxa" w:w="100"/>
              <w:bottom w:type="dxa" w:w="0"/>
              <w:right w:type="dxa" w:w="0"/>
            </w:tcMar>
            <w:vAlign w:val="center"/>
          </w:tcPr>
          <w:p>
            <w:pPr>
              <w:pBdr>
                <w:bottom w:val="single" w:color="B08A3D" w:sz="6" w:space="4"/>
              </w:pBdr>
              <w:spacing w:after="100" w:before="60"/>
            </w:pPr>
            <w:r>
              <w:rPr>
                <w:rFonts w:ascii="Cambria" w:cs="Cambria" w:eastAsia="Cambria" w:hAnsi="Cambria"/>
                <w:b/>
                <w:bCs/>
                <w:color w:val="0B2042"/>
                <w:sz w:val="26"/>
                <w:szCs w:val="26"/>
              </w:rPr>
              <w:t xml:space="preserve">Pilot Opportunities</w:t>
            </w:r>
          </w:p>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Institutional assessments</w:t>
            </w:r>
          </w:p>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Executive leadership programmes</w:t>
            </w:r>
          </w:p>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AI-assisted coaching</w:t>
            </w:r>
          </w:p>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Organisational benchmarking</w:t>
            </w:r>
          </w:p>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Framework validation</w:t>
            </w:r>
          </w:p>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Cross-country comparative studies</w:t>
            </w:r>
          </w:p>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Capacity building &amp; certification</w:t>
            </w:r>
          </w:p>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Joint conferences &amp; co-authored publications</w:t>
            </w:r>
          </w:p>
        </w:tc>
      </w:tr>
    </w:tbl>
    <w:p>
      <w:pPr>
        <w:pBdr>
          <w:bottom w:val="single" w:color="B08A3D" w:sz="6" w:space="4"/>
        </w:pBdr>
        <w:spacing w:after="100" w:before="100"/>
      </w:pPr>
      <w:r>
        <w:rPr>
          <w:rFonts w:ascii="Cambria" w:cs="Cambria" w:eastAsia="Cambria" w:hAnsi="Cambria"/>
          <w:b/>
          <w:bCs/>
          <w:color w:val="0B2042"/>
          <w:sz w:val="26"/>
          <w:szCs w:val="26"/>
        </w:rPr>
        <w:t xml:space="preserve">Early Case Studies</w:t>
      </w:r>
    </w:p>
    <w:tbl>
      <w:tblPr>
        <w:tblW w:type="dxa" w:w="106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620"/>
      </w:tblGrid>
      <w:tr>
        <w:tc>
          <w:tcPr>
            <w:tcBorders>
              <w:top w:val="none" w:color="FFFFFF" w:sz="0"/>
              <w:left w:val="none" w:color="FFFFFF" w:sz="0"/>
              <w:bottom w:val="none" w:color="FFFFFF" w:sz="0"/>
              <w:right w:val="none" w:color="FFFFFF" w:sz="0"/>
            </w:tcBorders>
            <w:shd w:fill="F3F1E9" w:val="clear"/>
            <w:tcMar>
              <w:top w:type="dxa" w:w="80"/>
              <w:left w:type="dxa" w:w="160"/>
              <w:bottom w:type="dxa" w:w="80"/>
              <w:right w:type="dxa" w:w="160"/>
            </w:tcMar>
            <w:vAlign w:val="center"/>
          </w:tcPr>
          <w:p>
            <w:pPr>
              <w:spacing w:after="30"/>
            </w:pPr>
            <w:r>
              <w:rPr>
                <w:rFonts w:ascii="Calibri" w:cs="Calibri" w:eastAsia="Calibri" w:hAnsi="Calibri"/>
                <w:b/>
                <w:bCs/>
                <w:color w:val="0C4E2A"/>
                <w:sz w:val="19"/>
                <w:szCs w:val="19"/>
              </w:rPr>
              <w:t xml:space="preserve">NASFAT</w:t>
            </w:r>
          </w:p>
          <w:p>
            <w:pPr>
              <w:spacing w:after="0"/>
            </w:pPr>
            <w:r>
              <w:rPr>
                <w:rFonts w:ascii="Calibri" w:cs="Calibri" w:eastAsia="Calibri" w:hAnsi="Calibri"/>
                <w:color w:val="3A3A3A"/>
                <w:sz w:val="18"/>
                <w:szCs w:val="18"/>
              </w:rPr>
              <w:t xml:space="preserve">Pilot implementation of OFESI™ involving Imams and Missioners to assess effectiveness and sustainability across a global network of 350+ locations.</w:t>
            </w:r>
          </w:p>
        </w:tc>
      </w:tr>
    </w:tbl>
    <w:p>
      <w:pPr>
        <w:spacing w:after="60"/>
      </w:pPr>
    </w:p>
    <w:tbl>
      <w:tblPr>
        <w:tblW w:type="dxa" w:w="106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620"/>
      </w:tblGrid>
      <w:tr>
        <w:tc>
          <w:tcPr>
            <w:tcBorders>
              <w:top w:val="none" w:color="FFFFFF" w:sz="0"/>
              <w:left w:val="none" w:color="FFFFFF" w:sz="0"/>
              <w:bottom w:val="none" w:color="FFFFFF" w:sz="0"/>
              <w:right w:val="none" w:color="FFFFFF" w:sz="0"/>
            </w:tcBorders>
            <w:shd w:fill="F3F1E9" w:val="clear"/>
            <w:tcMar>
              <w:top w:type="dxa" w:w="80"/>
              <w:left w:type="dxa" w:w="160"/>
              <w:bottom w:type="dxa" w:w="80"/>
              <w:right w:type="dxa" w:w="160"/>
            </w:tcMar>
            <w:vAlign w:val="center"/>
          </w:tcPr>
          <w:p>
            <w:pPr>
              <w:spacing w:after="30"/>
            </w:pPr>
            <w:r>
              <w:rPr>
                <w:rFonts w:ascii="Calibri" w:cs="Calibri" w:eastAsia="Calibri" w:hAnsi="Calibri"/>
                <w:b/>
                <w:bCs/>
                <w:color w:val="0C4E2A"/>
                <w:sz w:val="19"/>
                <w:szCs w:val="19"/>
              </w:rPr>
              <w:t xml:space="preserve">Four Islamic Institutions</w:t>
            </w:r>
          </w:p>
          <w:p>
            <w:pPr>
              <w:spacing w:after="0"/>
            </w:pPr>
            <w:r>
              <w:rPr>
                <w:rFonts w:ascii="Calibri" w:cs="Calibri" w:eastAsia="Calibri" w:hAnsi="Calibri"/>
                <w:color w:val="3A3A3A"/>
                <w:sz w:val="18"/>
                <w:szCs w:val="18"/>
              </w:rPr>
              <w:t xml:space="preserve">OFSGOE™ pilot exercises conducted to evaluate strategic growth, governance and operational excellence.</w:t>
            </w:r>
          </w:p>
        </w:tc>
      </w:tr>
    </w:tbl>
    <w:p>
      <w:pPr>
        <w:spacing w:after="60"/>
      </w:pPr>
    </w:p>
    <w:tbl>
      <w:tblPr>
        <w:tblW w:type="dxa" w:w="106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620"/>
      </w:tblGrid>
      <w:tr>
        <w:tc>
          <w:tcPr>
            <w:tcBorders>
              <w:top w:val="none" w:color="FFFFFF" w:sz="0"/>
              <w:left w:val="none" w:color="FFFFFF" w:sz="0"/>
              <w:bottom w:val="none" w:color="FFFFFF" w:sz="0"/>
              <w:right w:val="none" w:color="FFFFFF" w:sz="0"/>
            </w:tcBorders>
            <w:shd w:fill="F3F1E9" w:val="clear"/>
            <w:tcMar>
              <w:top w:type="dxa" w:w="80"/>
              <w:left w:type="dxa" w:w="160"/>
              <w:bottom w:type="dxa" w:w="80"/>
              <w:right w:type="dxa" w:w="160"/>
            </w:tcMar>
            <w:vAlign w:val="center"/>
          </w:tcPr>
          <w:p>
            <w:pPr>
              <w:spacing w:after="30"/>
            </w:pPr>
            <w:r>
              <w:rPr>
                <w:rFonts w:ascii="Calibri" w:cs="Calibri" w:eastAsia="Calibri" w:hAnsi="Calibri"/>
                <w:b/>
                <w:bCs/>
                <w:color w:val="0C4E2A"/>
                <w:sz w:val="19"/>
                <w:szCs w:val="19"/>
              </w:rPr>
              <w:t xml:space="preserve">Ongoing Research Development</w:t>
            </w:r>
          </w:p>
          <w:p>
            <w:pPr>
              <w:spacing w:after="0"/>
            </w:pPr>
            <w:r>
              <w:rPr>
                <w:rFonts w:ascii="Calibri" w:cs="Calibri" w:eastAsia="Calibri" w:hAnsi="Calibri"/>
                <w:color w:val="3A3A3A"/>
                <w:sz w:val="18"/>
                <w:szCs w:val="18"/>
              </w:rPr>
              <w:t xml:space="preserve">Research expansion continues through postgraduate studies, conference presentations and peer-reviewed publications.</w:t>
            </w:r>
          </w:p>
        </w:tc>
      </w:tr>
    </w:tbl>
    <w:p>
      <w:pPr>
        <w:sectPr>
          <w:footerReference w:type="default" r:id="rId9"/>
          <w:pgSz w:w="12240" w:h="15840" w:orient="portrait"/>
          <w:pgMar w:top="720" w:right="810" w:bottom="720" w:left="810" w:header="708" w:footer="708" w:gutter="0"/>
          <w:pgNumType/>
          <w:docGrid w:linePitch="360"/>
        </w:sectPr>
      </w:pPr>
    </w:p>
    <w:p>
      <w:pPr>
        <w:spacing w:after="60"/>
      </w:pPr>
      <w:r>
        <w:rPr>
          <w:rFonts w:ascii="Calibri" w:cs="Calibri" w:eastAsia="Calibri" w:hAnsi="Calibri"/>
          <w:b/>
          <w:bCs/>
          <w:color w:val="B08A3D"/>
          <w:spacing w:val="20"/>
          <w:sz w:val="18"/>
          <w:szCs w:val="18"/>
        </w:rPr>
        <w:t xml:space="preserve">PAGE 4  ·  COLLABORATION OPPORTUNITIES</w:t>
      </w:r>
    </w:p>
    <w:p>
      <w:pPr>
        <w:spacing w:after="160" w:before="0"/>
      </w:pPr>
      <w:r>
        <w:rPr>
          <w:rFonts w:ascii="Cambria" w:cs="Cambria" w:eastAsia="Cambria" w:hAnsi="Cambria"/>
          <w:b/>
          <w:bCs/>
          <w:color w:val="0B2042"/>
          <w:sz w:val="40"/>
          <w:szCs w:val="40"/>
        </w:rPr>
        <w:t xml:space="preserve">Ways to Partner With Us</w:t>
      </w:r>
    </w:p>
    <w:p>
      <w:pPr>
        <w:spacing w:after="60"/>
      </w:pPr>
    </w:p>
    <w:tbl>
      <w:tblPr>
        <w:tblW w:type="dxa" w:w="106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540"/>
        <w:gridCol w:w="3540"/>
        <w:gridCol w:w="3540"/>
      </w:tblGrid>
      <w:tr>
        <w:tc>
          <w:tcPr>
            <w:tcW w:type="dxa" w:w="3540"/>
            <w:tcBorders>
              <w:top w:val="none" w:color="FFFFFF" w:sz="0"/>
              <w:left w:val="none" w:color="FFFFFF" w:sz="0"/>
              <w:bottom w:val="none" w:color="FFFFFF" w:sz="0"/>
              <w:right w:val="none" w:color="FFFFFF" w:sz="0"/>
            </w:tcBorders>
            <w:tcMar>
              <w:top w:type="dxa" w:w="0"/>
              <w:left w:type="dxa" w:w="0"/>
              <w:bottom w:type="dxa" w:w="100"/>
              <w:right w:type="dxa" w:w="60"/>
            </w:tcMar>
            <w:vAlign w:val="center"/>
          </w:tcPr>
          <w:tbl>
            <w:tblPr>
              <w:tblW w:type="dxa" w:w="34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420"/>
            </w:tblGrid>
            <w:tr>
              <w:tc>
                <w:tcPr>
                  <w:tcBorders>
                    <w:top w:val="none" w:color="FFFFFF" w:sz="0"/>
                    <w:left w:val="none" w:color="FFFFFF" w:sz="0"/>
                    <w:bottom w:val="none" w:color="FFFFFF" w:sz="0"/>
                    <w:right w:val="none" w:color="FFFFFF" w:sz="0"/>
                  </w:tcBorders>
                  <w:shd w:fill="0B2042" w:val="clear"/>
                  <w:tcMar>
                    <w:top w:type="dxa" w:w="120"/>
                    <w:left w:type="dxa" w:w="160"/>
                    <w:bottom w:type="dxa" w:w="120"/>
                    <w:right w:type="dxa" w:w="160"/>
                  </w:tcMar>
                  <w:vAlign w:val="center"/>
                </w:tcPr>
                <w:p>
                  <w:pPr>
                    <w:spacing w:after="50"/>
                  </w:pPr>
                  <w:r>
                    <w:rPr>
                      <w:rFonts w:ascii="Calibri" w:cs="Calibri" w:eastAsia="Calibri" w:hAnsi="Calibri"/>
                      <w:b/>
                      <w:bCs/>
                      <w:color w:val="FFFFFF"/>
                      <w:sz w:val="19"/>
                      <w:szCs w:val="19"/>
                    </w:rPr>
                    <w:t xml:space="preserve">Research</w:t>
                  </w:r>
                </w:p>
                <w:p>
                  <w:pPr>
                    <w:spacing w:after="24"/>
                  </w:pPr>
                  <w:r>
                    <w:rPr>
                      <w:rFonts w:ascii="Calibri" w:cs="Calibri" w:eastAsia="Calibri" w:hAnsi="Calibri"/>
                      <w:color w:val="F2F0E8"/>
                      <w:sz w:val="16"/>
                      <w:szCs w:val="16"/>
                    </w:rPr>
                    <w:t xml:space="preserve">•  Joint research</w:t>
                  </w:r>
                </w:p>
                <w:p>
                  <w:pPr>
                    <w:spacing w:after="24"/>
                  </w:pPr>
                  <w:r>
                    <w:rPr>
                      <w:rFonts w:ascii="Calibri" w:cs="Calibri" w:eastAsia="Calibri" w:hAnsi="Calibri"/>
                      <w:color w:val="F2F0E8"/>
                      <w:sz w:val="16"/>
                      <w:szCs w:val="16"/>
                    </w:rPr>
                    <w:t xml:space="preserve">•  Co-authored publications</w:t>
                  </w:r>
                </w:p>
                <w:p>
                  <w:pPr>
                    <w:spacing w:after="24"/>
                  </w:pPr>
                  <w:r>
                    <w:rPr>
                      <w:rFonts w:ascii="Calibri" w:cs="Calibri" w:eastAsia="Calibri" w:hAnsi="Calibri"/>
                      <w:color w:val="F2F0E8"/>
                      <w:sz w:val="16"/>
                      <w:szCs w:val="16"/>
                    </w:rPr>
                    <w:t xml:space="preserve">•  Research grants</w:t>
                  </w:r>
                </w:p>
                <w:p>
                  <w:pPr>
                    <w:spacing w:after="24"/>
                  </w:pPr>
                  <w:r>
                    <w:rPr>
                      <w:rFonts w:ascii="Calibri" w:cs="Calibri" w:eastAsia="Calibri" w:hAnsi="Calibri"/>
                      <w:color w:val="F2F0E8"/>
                      <w:sz w:val="16"/>
                      <w:szCs w:val="16"/>
                    </w:rPr>
                    <w:t xml:space="preserve">•  Conference collaborations</w:t>
                  </w:r>
                </w:p>
              </w:tc>
            </w:tr>
          </w:tbl>
          <w:p/>
        </w:tc>
        <w:tc>
          <w:tcPr>
            <w:tcW w:type="dxa" w:w="3540"/>
            <w:tcBorders>
              <w:top w:val="none" w:color="FFFFFF" w:sz="0"/>
              <w:left w:val="none" w:color="FFFFFF" w:sz="0"/>
              <w:bottom w:val="none" w:color="FFFFFF" w:sz="0"/>
              <w:right w:val="none" w:color="FFFFFF" w:sz="0"/>
            </w:tcBorders>
            <w:tcMar>
              <w:top w:type="dxa" w:w="0"/>
              <w:left w:type="dxa" w:w="60"/>
              <w:bottom w:type="dxa" w:w="100"/>
              <w:right w:type="dxa" w:w="60"/>
            </w:tcMar>
            <w:vAlign w:val="center"/>
          </w:tcPr>
          <w:tbl>
            <w:tblPr>
              <w:tblW w:type="dxa" w:w="34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420"/>
            </w:tblGrid>
            <w:tr>
              <w:tc>
                <w:tcPr>
                  <w:tcBorders>
                    <w:top w:val="none" w:color="FFFFFF" w:sz="0"/>
                    <w:left w:val="none" w:color="FFFFFF" w:sz="0"/>
                    <w:bottom w:val="none" w:color="FFFFFF" w:sz="0"/>
                    <w:right w:val="none" w:color="FFFFFF" w:sz="0"/>
                  </w:tcBorders>
                  <w:shd w:fill="0B2042" w:val="clear"/>
                  <w:tcMar>
                    <w:top w:type="dxa" w:w="120"/>
                    <w:left w:type="dxa" w:w="160"/>
                    <w:bottom w:type="dxa" w:w="120"/>
                    <w:right w:type="dxa" w:w="160"/>
                  </w:tcMar>
                  <w:vAlign w:val="center"/>
                </w:tcPr>
                <w:p>
                  <w:pPr>
                    <w:spacing w:after="50"/>
                  </w:pPr>
                  <w:r>
                    <w:rPr>
                      <w:rFonts w:ascii="Calibri" w:cs="Calibri" w:eastAsia="Calibri" w:hAnsi="Calibri"/>
                      <w:b/>
                      <w:bCs/>
                      <w:color w:val="FFFFFF"/>
                      <w:sz w:val="19"/>
                      <w:szCs w:val="19"/>
                    </w:rPr>
                    <w:t xml:space="preserve">Pilot Implementation</w:t>
                  </w:r>
                </w:p>
                <w:p>
                  <w:pPr>
                    <w:spacing w:after="24"/>
                  </w:pPr>
                  <w:r>
                    <w:rPr>
                      <w:rFonts w:ascii="Calibri" w:cs="Calibri" w:eastAsia="Calibri" w:hAnsi="Calibri"/>
                      <w:color w:val="F2F0E8"/>
                      <w:sz w:val="16"/>
                      <w:szCs w:val="16"/>
                    </w:rPr>
                    <w:t xml:space="preserve">•  Institution-wide assessment using one or more Onike Framework™ models</w:t>
                  </w:r>
                </w:p>
              </w:tc>
            </w:tr>
          </w:tbl>
          <w:p/>
        </w:tc>
        <w:tc>
          <w:tcPr>
            <w:tcW w:type="dxa" w:w="3540"/>
            <w:tcBorders>
              <w:top w:val="none" w:color="FFFFFF" w:sz="0"/>
              <w:left w:val="none" w:color="FFFFFF" w:sz="0"/>
              <w:bottom w:val="none" w:color="FFFFFF" w:sz="0"/>
              <w:right w:val="none" w:color="FFFFFF" w:sz="0"/>
            </w:tcBorders>
            <w:tcMar>
              <w:top w:type="dxa" w:w="0"/>
              <w:left w:type="dxa" w:w="60"/>
              <w:bottom w:type="dxa" w:w="100"/>
              <w:right w:type="dxa" w:w="0"/>
            </w:tcMar>
            <w:vAlign w:val="center"/>
          </w:tcPr>
          <w:tbl>
            <w:tblPr>
              <w:tblW w:type="dxa" w:w="34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420"/>
            </w:tblGrid>
            <w:tr>
              <w:tc>
                <w:tcPr>
                  <w:tcBorders>
                    <w:top w:val="none" w:color="FFFFFF" w:sz="0"/>
                    <w:left w:val="none" w:color="FFFFFF" w:sz="0"/>
                    <w:bottom w:val="none" w:color="FFFFFF" w:sz="0"/>
                    <w:right w:val="none" w:color="FFFFFF" w:sz="0"/>
                  </w:tcBorders>
                  <w:shd w:fill="0B2042" w:val="clear"/>
                  <w:tcMar>
                    <w:top w:type="dxa" w:w="120"/>
                    <w:left w:type="dxa" w:w="160"/>
                    <w:bottom w:type="dxa" w:w="120"/>
                    <w:right w:type="dxa" w:w="160"/>
                  </w:tcMar>
                  <w:vAlign w:val="center"/>
                </w:tcPr>
                <w:p>
                  <w:pPr>
                    <w:spacing w:after="50"/>
                  </w:pPr>
                  <w:r>
                    <w:rPr>
                      <w:rFonts w:ascii="Calibri" w:cs="Calibri" w:eastAsia="Calibri" w:hAnsi="Calibri"/>
                      <w:b/>
                      <w:bCs/>
                      <w:color w:val="FFFFFF"/>
                      <w:sz w:val="19"/>
                      <w:szCs w:val="19"/>
                    </w:rPr>
                    <w:t xml:space="preserve">Capacity Building</w:t>
                  </w:r>
                </w:p>
                <w:p>
                  <w:pPr>
                    <w:spacing w:after="24"/>
                  </w:pPr>
                  <w:r>
                    <w:rPr>
                      <w:rFonts w:ascii="Calibri" w:cs="Calibri" w:eastAsia="Calibri" w:hAnsi="Calibri"/>
                      <w:color w:val="F2F0E8"/>
                      <w:sz w:val="16"/>
                      <w:szCs w:val="16"/>
                    </w:rPr>
                    <w:t xml:space="preserve">•  Strategic growth &amp; governance</w:t>
                  </w:r>
                </w:p>
                <w:p>
                  <w:pPr>
                    <w:spacing w:after="24"/>
                  </w:pPr>
                  <w:r>
                    <w:rPr>
                      <w:rFonts w:ascii="Calibri" w:cs="Calibri" w:eastAsia="Calibri" w:hAnsi="Calibri"/>
                      <w:color w:val="F2F0E8"/>
                      <w:sz w:val="16"/>
                      <w:szCs w:val="16"/>
                    </w:rPr>
                    <w:t xml:space="preserve">•  Sustainability &amp; leadership</w:t>
                  </w:r>
                </w:p>
                <w:p>
                  <w:pPr>
                    <w:spacing w:after="24"/>
                  </w:pPr>
                  <w:r>
                    <w:rPr>
                      <w:rFonts w:ascii="Calibri" w:cs="Calibri" w:eastAsia="Calibri" w:hAnsi="Calibri"/>
                      <w:color w:val="F2F0E8"/>
                      <w:sz w:val="16"/>
                      <w:szCs w:val="16"/>
                    </w:rPr>
                    <w:t xml:space="preserve">•  Operational excellence</w:t>
                  </w:r>
                </w:p>
                <w:p>
                  <w:pPr>
                    <w:spacing w:after="24"/>
                  </w:pPr>
                  <w:r>
                    <w:rPr>
                      <w:rFonts w:ascii="Calibri" w:cs="Calibri" w:eastAsia="Calibri" w:hAnsi="Calibri"/>
                      <w:color w:val="F2F0E8"/>
                      <w:sz w:val="16"/>
                      <w:szCs w:val="16"/>
                    </w:rPr>
                    <w:t xml:space="preserve">•  Ethical finance &amp; AI readiness</w:t>
                  </w:r>
                </w:p>
              </w:tc>
            </w:tr>
          </w:tbl>
          <w:p/>
        </w:tc>
      </w:tr>
      <w:tr>
        <w:tc>
          <w:tcPr>
            <w:tcW w:type="dxa" w:w="3540"/>
            <w:tcBorders>
              <w:top w:val="none" w:color="FFFFFF" w:sz="0"/>
              <w:left w:val="none" w:color="FFFFFF" w:sz="0"/>
              <w:bottom w:val="none" w:color="FFFFFF" w:sz="0"/>
              <w:right w:val="none" w:color="FFFFFF" w:sz="0"/>
            </w:tcBorders>
            <w:tcMar>
              <w:top w:type="dxa" w:w="0"/>
              <w:left w:type="dxa" w:w="0"/>
              <w:bottom w:type="dxa" w:w="0"/>
              <w:right w:type="dxa" w:w="60"/>
            </w:tcMar>
            <w:vAlign w:val="center"/>
          </w:tcPr>
          <w:tbl>
            <w:tblPr>
              <w:tblW w:type="dxa" w:w="34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420"/>
            </w:tblGrid>
            <w:tr>
              <w:tc>
                <w:tcPr>
                  <w:tcBorders>
                    <w:top w:val="none" w:color="FFFFFF" w:sz="0"/>
                    <w:left w:val="none" w:color="FFFFFF" w:sz="0"/>
                    <w:bottom w:val="none" w:color="FFFFFF" w:sz="0"/>
                    <w:right w:val="none" w:color="FFFFFF" w:sz="0"/>
                  </w:tcBorders>
                  <w:shd w:fill="0B2042" w:val="clear"/>
                  <w:tcMar>
                    <w:top w:type="dxa" w:w="120"/>
                    <w:left w:type="dxa" w:w="160"/>
                    <w:bottom w:type="dxa" w:w="120"/>
                    <w:right w:type="dxa" w:w="160"/>
                  </w:tcMar>
                  <w:vAlign w:val="center"/>
                </w:tcPr>
                <w:p>
                  <w:pPr>
                    <w:spacing w:after="50"/>
                  </w:pPr>
                  <w:r>
                    <w:rPr>
                      <w:rFonts w:ascii="Calibri" w:cs="Calibri" w:eastAsia="Calibri" w:hAnsi="Calibri"/>
                      <w:b/>
                      <w:bCs/>
                      <w:color w:val="FFFFFF"/>
                      <w:sz w:val="19"/>
                      <w:szCs w:val="19"/>
                    </w:rPr>
                    <w:t xml:space="preserve">Technology Collaboration</w:t>
                  </w:r>
                </w:p>
                <w:p>
                  <w:pPr>
                    <w:spacing w:after="24"/>
                  </w:pPr>
                  <w:r>
                    <w:rPr>
                      <w:rFonts w:ascii="Calibri" w:cs="Calibri" w:eastAsia="Calibri" w:hAnsi="Calibri"/>
                      <w:color w:val="F2F0E8"/>
                      <w:sz w:val="16"/>
                      <w:szCs w:val="16"/>
                    </w:rPr>
                    <w:t xml:space="preserve">•  AI-assisted diagnostics</w:t>
                  </w:r>
                </w:p>
                <w:p>
                  <w:pPr>
                    <w:spacing w:after="24"/>
                  </w:pPr>
                  <w:r>
                    <w:rPr>
                      <w:rFonts w:ascii="Calibri" w:cs="Calibri" w:eastAsia="Calibri" w:hAnsi="Calibri"/>
                      <w:color w:val="F2F0E8"/>
                      <w:sz w:val="16"/>
                      <w:szCs w:val="16"/>
                    </w:rPr>
                    <w:t xml:space="preserve">•  Benchmarking dashboards</w:t>
                  </w:r>
                </w:p>
                <w:p>
                  <w:pPr>
                    <w:spacing w:after="24"/>
                  </w:pPr>
                  <w:r>
                    <w:rPr>
                      <w:rFonts w:ascii="Calibri" w:cs="Calibri" w:eastAsia="Calibri" w:hAnsi="Calibri"/>
                      <w:color w:val="F2F0E8"/>
                      <w:sz w:val="16"/>
                      <w:szCs w:val="16"/>
                    </w:rPr>
                    <w:t xml:space="preserve">•  Digital reporting</w:t>
                  </w:r>
                </w:p>
                <w:p>
                  <w:pPr>
                    <w:spacing w:after="24"/>
                  </w:pPr>
                  <w:r>
                    <w:rPr>
                      <w:rFonts w:ascii="Calibri" w:cs="Calibri" w:eastAsia="Calibri" w:hAnsi="Calibri"/>
                      <w:color w:val="F2F0E8"/>
                      <w:sz w:val="16"/>
                      <w:szCs w:val="16"/>
                    </w:rPr>
                    <w:t xml:space="preserve">•  Multilingual assessments</w:t>
                  </w:r>
                </w:p>
              </w:tc>
            </w:tr>
          </w:tbl>
          <w:p/>
        </w:tc>
        <w:tc>
          <w:tcPr>
            <w:tcW w:type="dxa" w:w="3540"/>
            <w:tcBorders>
              <w:top w:val="none" w:color="FFFFFF" w:sz="0"/>
              <w:left w:val="none" w:color="FFFFFF" w:sz="0"/>
              <w:bottom w:val="none" w:color="FFFFFF" w:sz="0"/>
              <w:right w:val="none" w:color="FFFFFF" w:sz="0"/>
            </w:tcBorders>
            <w:tcMar>
              <w:top w:type="dxa" w:w="0"/>
              <w:left w:type="dxa" w:w="60"/>
              <w:bottom w:type="dxa" w:w="0"/>
              <w:right w:type="dxa" w:w="60"/>
            </w:tcMar>
            <w:vAlign w:val="center"/>
          </w:tcPr>
          <w:tbl>
            <w:tblPr>
              <w:tblW w:type="dxa" w:w="34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420"/>
            </w:tblGrid>
            <w:tr>
              <w:tc>
                <w:tcPr>
                  <w:tcBorders>
                    <w:top w:val="none" w:color="FFFFFF" w:sz="0"/>
                    <w:left w:val="none" w:color="FFFFFF" w:sz="0"/>
                    <w:bottom w:val="none" w:color="FFFFFF" w:sz="0"/>
                    <w:right w:val="none" w:color="FFFFFF" w:sz="0"/>
                  </w:tcBorders>
                  <w:shd w:fill="0B2042" w:val="clear"/>
                  <w:tcMar>
                    <w:top w:type="dxa" w:w="120"/>
                    <w:left w:type="dxa" w:w="160"/>
                    <w:bottom w:type="dxa" w:w="120"/>
                    <w:right w:type="dxa" w:w="160"/>
                  </w:tcMar>
                  <w:vAlign w:val="center"/>
                </w:tcPr>
                <w:p>
                  <w:pPr>
                    <w:spacing w:after="50"/>
                  </w:pPr>
                  <w:r>
                    <w:rPr>
                      <w:rFonts w:ascii="Calibri" w:cs="Calibri" w:eastAsia="Calibri" w:hAnsi="Calibri"/>
                      <w:b/>
                      <w:bCs/>
                      <w:color w:val="FFFFFF"/>
                      <w:sz w:val="19"/>
                      <w:szCs w:val="19"/>
                    </w:rPr>
                    <w:t xml:space="preserve">International Benchmarking</w:t>
                  </w:r>
                </w:p>
                <w:p>
                  <w:pPr>
                    <w:spacing w:after="24"/>
                  </w:pPr>
                  <w:r>
                    <w:rPr>
                      <w:rFonts w:ascii="Calibri" w:cs="Calibri" w:eastAsia="Calibri" w:hAnsi="Calibri"/>
                      <w:color w:val="F2F0E8"/>
                      <w:sz w:val="16"/>
                      <w:szCs w:val="16"/>
                    </w:rPr>
                    <w:t xml:space="preserve">•  Comparative assessment of Islamic institutions using standardised maturity models</w:t>
                  </w:r>
                </w:p>
              </w:tc>
            </w:tr>
          </w:tbl>
          <w:p/>
        </w:tc>
        <w:tc>
          <w:tcPr>
            <w:tcW w:type="dxa" w:w="3540"/>
            <w:tcBorders>
              <w:top w:val="none" w:color="FFFFFF" w:sz="0"/>
              <w:left w:val="none" w:color="FFFFFF" w:sz="0"/>
              <w:bottom w:val="none" w:color="FFFFFF" w:sz="0"/>
              <w:right w:val="none" w:color="FFFFFF" w:sz="0"/>
            </w:tcBorders>
            <w:tcMar>
              <w:top w:type="dxa" w:w="0"/>
              <w:left w:type="dxa" w:w="60"/>
              <w:bottom w:type="dxa" w:w="0"/>
              <w:right w:type="dxa" w:w="0"/>
            </w:tcMar>
            <w:vAlign w:val="center"/>
          </w:tcPr>
          <w:tbl>
            <w:tblPr>
              <w:tblW w:type="dxa" w:w="34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420"/>
            </w:tblGrid>
            <w:tr>
              <w:tc>
                <w:tcPr>
                  <w:tcBorders>
                    <w:top w:val="none" w:color="FFFFFF" w:sz="0"/>
                    <w:left w:val="none" w:color="FFFFFF" w:sz="0"/>
                    <w:bottom w:val="none" w:color="FFFFFF" w:sz="0"/>
                    <w:right w:val="none" w:color="FFFFFF" w:sz="0"/>
                  </w:tcBorders>
                  <w:shd w:fill="0B2042" w:val="clear"/>
                  <w:tcMar>
                    <w:top w:type="dxa" w:w="120"/>
                    <w:left w:type="dxa" w:w="160"/>
                    <w:bottom w:type="dxa" w:w="120"/>
                    <w:right w:type="dxa" w:w="160"/>
                  </w:tcMar>
                  <w:vAlign w:val="center"/>
                </w:tcPr>
                <w:p>
                  <w:pPr>
                    <w:spacing w:after="50"/>
                  </w:pPr>
                  <w:r>
                    <w:rPr>
                      <w:rFonts w:ascii="Calibri" w:cs="Calibri" w:eastAsia="Calibri" w:hAnsi="Calibri"/>
                      <w:b/>
                      <w:bCs/>
                      <w:color w:val="FFFFFF"/>
                      <w:sz w:val="19"/>
                      <w:szCs w:val="19"/>
                    </w:rPr>
                    <w:t xml:space="preserve">Policy &amp; Advisory</w:t>
                  </w:r>
                </w:p>
                <w:p>
                  <w:pPr>
                    <w:spacing w:after="24"/>
                  </w:pPr>
                  <w:r>
                    <w:rPr>
                      <w:rFonts w:ascii="Calibri" w:cs="Calibri" w:eastAsia="Calibri" w:hAnsi="Calibri"/>
                      <w:color w:val="F2F0E8"/>
                      <w:sz w:val="16"/>
                      <w:szCs w:val="16"/>
                    </w:rPr>
                    <w:t xml:space="preserve">•  Institutional standards</w:t>
                  </w:r>
                </w:p>
                <w:p>
                  <w:pPr>
                    <w:spacing w:after="24"/>
                  </w:pPr>
                  <w:r>
                    <w:rPr>
                      <w:rFonts w:ascii="Calibri" w:cs="Calibri" w:eastAsia="Calibri" w:hAnsi="Calibri"/>
                      <w:color w:val="F2F0E8"/>
                      <w:sz w:val="16"/>
                      <w:szCs w:val="16"/>
                    </w:rPr>
                    <w:t xml:space="preserve">•  Governance frameworks</w:t>
                  </w:r>
                </w:p>
                <w:p>
                  <w:pPr>
                    <w:spacing w:after="24"/>
                  </w:pPr>
                  <w:r>
                    <w:rPr>
                      <w:rFonts w:ascii="Calibri" w:cs="Calibri" w:eastAsia="Calibri" w:hAnsi="Calibri"/>
                      <w:color w:val="F2F0E8"/>
                      <w:sz w:val="16"/>
                      <w:szCs w:val="16"/>
                    </w:rPr>
                    <w:t xml:space="preserve">•  Sustainability indicators</w:t>
                  </w:r>
                </w:p>
                <w:p>
                  <w:pPr>
                    <w:spacing w:after="24"/>
                  </w:pPr>
                  <w:r>
                    <w:rPr>
                      <w:rFonts w:ascii="Calibri" w:cs="Calibri" w:eastAsia="Calibri" w:hAnsi="Calibri"/>
                      <w:color w:val="F2F0E8"/>
                      <w:sz w:val="16"/>
                      <w:szCs w:val="16"/>
                    </w:rPr>
                    <w:t xml:space="preserve">•  Policy papers</w:t>
                  </w:r>
                </w:p>
              </w:tc>
            </w:tr>
          </w:tbl>
          <w:p/>
        </w:tc>
      </w:tr>
    </w:tbl>
    <w:p>
      <w:pPr>
        <w:pBdr>
          <w:bottom w:val="single" w:color="B08A3D" w:sz="6" w:space="4"/>
        </w:pBdr>
        <w:spacing w:after="100" w:before="140"/>
      </w:pPr>
      <w:r>
        <w:rPr>
          <w:rFonts w:ascii="Cambria" w:cs="Cambria" w:eastAsia="Cambria" w:hAnsi="Cambria"/>
          <w:b/>
          <w:bCs/>
          <w:color w:val="0B2042"/>
          <w:sz w:val="26"/>
          <w:szCs w:val="26"/>
        </w:rPr>
        <w:t xml:space="preserve">Why Collaborate?</w:t>
      </w:r>
    </w:p>
    <w:p>
      <w:pPr>
        <w:spacing w:after="100"/>
      </w:pPr>
      <w:r>
        <w:rPr>
          <w:rFonts w:ascii="Calibri" w:cs="Calibri" w:eastAsia="Calibri" w:hAnsi="Calibri"/>
          <w:color w:val="262626"/>
          <w:sz w:val="19"/>
          <w:szCs w:val="19"/>
        </w:rPr>
        <w:t xml:space="preserve">A partnership with the Onike Framework™ enables organisations to:</w:t>
      </w:r>
    </w:p>
    <w:tbl>
      <w:tblPr>
        <w:tblW w:type="dxa" w:w="106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5310"/>
        <w:gridCol w:w="5310"/>
      </w:tblGrid>
      <w:tr>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Strengthen institutional effectiveness</w:t>
            </w:r>
          </w:p>
        </w:tc>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Enhance governance and accountability</w:t>
            </w:r>
          </w:p>
        </w:tc>
      </w:tr>
      <w:tr>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Improve sustainability and resilience</w:t>
            </w:r>
          </w:p>
        </w:tc>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Advance Maqāṣid al-Sharī'ah implementation</w:t>
            </w:r>
          </w:p>
        </w:tc>
      </w:tr>
      <w:tr>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Promote ethical finance and operational excellence</w:t>
            </w:r>
          </w:p>
        </w:tc>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Build AI-enabled institutional capability</w:t>
            </w:r>
          </w:p>
        </w:tc>
      </w:tr>
      <w:tr>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Benchmark against international best practices</w:t>
            </w:r>
          </w:p>
        </w:tc>
        <w:tc>
          <w:tcPr>
            <w:tcW w:type="dxa" w:w="5310"/>
            <w:tcBorders>
              <w:top w:val="none" w:color="FFFFFF" w:sz="0"/>
              <w:left w:val="none" w:color="FFFFFF" w:sz="0"/>
              <w:bottom w:val="none" w:color="FFFFFF" w:sz="0"/>
              <w:right w:val="none" w:color="FFFFFF" w:sz="0"/>
            </w:tcBorders>
            <w:tcMar>
              <w:top w:type="dxa" w:w="80"/>
              <w:left w:type="dxa" w:w="100"/>
              <w:bottom w:type="dxa" w:w="80"/>
              <w:right w:type="dxa" w:w="100"/>
            </w:tcMar>
            <w:vAlign w:val="center"/>
          </w:tcPr>
          <w:p>
            <w:pPr>
              <w:spacing w:after="36"/>
              <w:ind w:left="260"/>
            </w:pPr>
            <w:r>
              <w:rPr>
                <w:rFonts w:ascii="Calibri" w:cs="Calibri" w:eastAsia="Calibri" w:hAnsi="Calibri"/>
                <w:b/>
                <w:bCs/>
                <w:color w:val="0C4E2A"/>
                <w:sz w:val="19"/>
                <w:szCs w:val="19"/>
              </w:rPr>
              <w:t xml:space="preserve">✓  </w:t>
            </w:r>
            <w:r>
              <w:rPr>
                <w:rFonts w:ascii="Calibri" w:cs="Calibri" w:eastAsia="Calibri" w:hAnsi="Calibri"/>
                <w:color w:val="262626"/>
                <w:sz w:val="19"/>
                <w:szCs w:val="19"/>
              </w:rPr>
              <w:t xml:space="preserve">Generate evidence-based research and measurable impact</w:t>
            </w:r>
          </w:p>
        </w:tc>
      </w:tr>
    </w:tbl>
    <w:p>
      <w:pPr>
        <w:spacing w:after="120"/>
      </w:pPr>
    </w:p>
    <w:tbl>
      <w:tblPr>
        <w:tblW w:type="dxa" w:w="1062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620"/>
      </w:tblGrid>
      <w:tr>
        <w:tc>
          <w:tcPr>
            <w:tcBorders>
              <w:top w:val="none" w:color="FFFFFF" w:sz="0"/>
              <w:left w:val="none" w:color="FFFFFF" w:sz="0"/>
              <w:bottom w:val="none" w:color="FFFFFF" w:sz="0"/>
              <w:right w:val="none" w:color="FFFFFF" w:sz="0"/>
            </w:tcBorders>
            <w:shd w:fill="0B2042" w:val="clear"/>
            <w:tcMar>
              <w:top w:type="dxa" w:w="260"/>
              <w:left w:type="dxa" w:w="320"/>
              <w:bottom w:type="dxa" w:w="260"/>
              <w:right w:type="dxa" w:w="320"/>
            </w:tcMar>
            <w:vAlign w:val="center"/>
          </w:tcPr>
          <w:p>
            <w:pPr>
              <w:spacing w:after="60"/>
            </w:pPr>
            <w:r>
              <w:rPr>
                <w:rFonts w:ascii="Calibri" w:cs="Calibri" w:eastAsia="Calibri" w:hAnsi="Calibri"/>
                <w:b/>
                <w:bCs/>
                <w:color w:val="B08A3D"/>
                <w:spacing w:val="10"/>
                <w:sz w:val="16"/>
                <w:szCs w:val="16"/>
              </w:rPr>
              <w:t xml:space="preserve">Vision Statement</w:t>
            </w:r>
          </w:p>
          <w:p>
            <w:pPr>
              <w:spacing w:after="160"/>
            </w:pPr>
            <w:r>
              <w:rPr>
                <w:rFonts w:ascii="Cambria" w:cs="Cambria" w:eastAsia="Cambria" w:hAnsi="Cambria"/>
                <w:i/>
                <w:iCs/>
                <w:color w:val="FFFFFF"/>
                <w:sz w:val="22"/>
                <w:szCs w:val="22"/>
              </w:rPr>
              <w:t xml:space="preserve">Transforming Islamic Institutions through Strategy, Sustainability, Operational Excellence, Ethical Finance, Innovation and Purpose-Driven Leadership.</w:t>
            </w:r>
          </w:p>
          <w:p>
            <w:pPr>
              <w:spacing w:after="20"/>
            </w:pPr>
            <w:r>
              <w:rPr>
                <w:rFonts w:ascii="Calibri" w:cs="Calibri" w:eastAsia="Calibri" w:hAnsi="Calibri"/>
                <w:b/>
                <w:bCs/>
                <w:color w:val="FFFFFF"/>
                <w:sz w:val="19"/>
                <w:szCs w:val="19"/>
              </w:rPr>
              <w:t xml:space="preserve">Imam Abdul-Azeez Onike Morufu</w:t>
            </w:r>
          </w:p>
          <w:p>
            <w:pPr>
              <w:spacing w:after="100"/>
            </w:pPr>
            <w:r>
              <w:rPr>
                <w:rFonts w:ascii="Calibri" w:cs="Calibri" w:eastAsia="Calibri" w:hAnsi="Calibri"/>
                <w:i/>
                <w:iCs/>
                <w:color w:val="D8D5C8"/>
                <w:sz w:val="17"/>
                <w:szCs w:val="17"/>
              </w:rPr>
              <w:t xml:space="preserve">Developer, The Onike Framework™</w:t>
            </w:r>
          </w:p>
          <w:p>
            <w:pPr>
              <w:spacing w:after="20"/>
            </w:pPr>
            <w:r>
              <w:rPr>
                <w:rFonts w:ascii="Calibri" w:cs="Calibri" w:eastAsia="Calibri" w:hAnsi="Calibri"/>
                <w:color w:val="F2F0E8"/>
                <w:sz w:val="17"/>
                <w:szCs w:val="17"/>
              </w:rPr>
              <w:t xml:space="preserve">info@onikeframework.org   ·   onikeazeez@gmail.com</w:t>
            </w:r>
          </w:p>
          <w:p>
            <w:pPr>
              <w:spacing w:after="20"/>
            </w:pPr>
            <w:r>
              <w:rPr>
                <w:rFonts w:ascii="Calibri" w:cs="Calibri" w:eastAsia="Calibri" w:hAnsi="Calibri"/>
                <w:color w:val="F2F0E8"/>
                <w:sz w:val="17"/>
                <w:szCs w:val="17"/>
              </w:rPr>
              <w:t xml:space="preserve">+234 803 304 7894   ·   +234 907 888 8882</w:t>
            </w:r>
          </w:p>
          <w:p>
            <w:pPr>
              <w:spacing w:after="0"/>
            </w:pPr>
            <w:r>
              <w:rPr>
                <w:rFonts w:ascii="Calibri" w:cs="Calibri" w:eastAsia="Calibri" w:hAnsi="Calibri"/>
                <w:b/>
                <w:bCs/>
                <w:color w:val="B08A3D"/>
                <w:sz w:val="18"/>
                <w:szCs w:val="18"/>
              </w:rPr>
              <w:t xml:space="preserve">https://onikeframework.org</w:t>
            </w:r>
          </w:p>
        </w:tc>
      </w:tr>
    </w:tbl>
    <w:sectPr>
      <w:footerReference w:type="default" r:id="rId10"/>
      <w:pgSz w:w="12240" w:h="15840" w:orient="portrait"/>
      <w:pgMar w:top="720" w:right="810" w:bottom="720" w:left="81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7E5DD" w:sz="4" w:space="6"/>
      </w:pBdr>
      <w:tabs>
        <w:tab w:val="right" w:pos="9360"/>
      </w:tabs>
    </w:pPr>
    <w:r>
      <w:rPr>
        <w:rFonts w:ascii="Calibri" w:cs="Calibri" w:eastAsia="Calibri" w:hAnsi="Calibri"/>
        <w:color w:val="5B5F66"/>
        <w:sz w:val="14"/>
        <w:szCs w:val="14"/>
      </w:rPr>
      <w:t xml:space="preserve">The Onike Framework™ — International Collaboration Prospectus</w:t>
    </w:r>
    <w:r>
      <w:rPr>
        <w:rFonts w:ascii="Calibri" w:cs="Calibri" w:eastAsia="Calibri" w:hAnsi="Calibri"/>
      </w:rPr>
      <w:t xml:space="preserve">	</w:t>
    </w:r>
    <w:r>
      <w:rPr>
        <w:rFonts w:ascii="Calibri" w:cs="Calibri" w:eastAsia="Calibri" w:hAnsi="Calibri"/>
        <w:color w:val="5B5F66"/>
        <w:sz w:val="14"/>
        <w:szCs w:val="14"/>
      </w:rPr>
      <w:t xml:space="preserve">onikeframework.org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7E5DD" w:sz="4" w:space="6"/>
      </w:pBdr>
      <w:tabs>
        <w:tab w:val="right" w:pos="9360"/>
      </w:tabs>
    </w:pPr>
    <w:r>
      <w:rPr>
        <w:rFonts w:ascii="Calibri" w:cs="Calibri" w:eastAsia="Calibri" w:hAnsi="Calibri"/>
        <w:color w:val="5B5F66"/>
        <w:sz w:val="14"/>
        <w:szCs w:val="14"/>
      </w:rPr>
      <w:t xml:space="preserve">The Onike Framework™ — International Collaboration Prospectus</w:t>
    </w:r>
    <w:r>
      <w:rPr>
        <w:rFonts w:ascii="Calibri" w:cs="Calibri" w:eastAsia="Calibri" w:hAnsi="Calibri"/>
      </w:rPr>
      <w:t xml:space="preserve">	</w:t>
    </w:r>
    <w:r>
      <w:rPr>
        <w:rFonts w:ascii="Calibri" w:cs="Calibri" w:eastAsia="Calibri" w:hAnsi="Calibri"/>
        <w:color w:val="5B5F66"/>
        <w:sz w:val="14"/>
        <w:szCs w:val="14"/>
      </w:rPr>
      <w:t xml:space="preserve">onikeframework.org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7E5DD" w:sz="4" w:space="6"/>
      </w:pBdr>
      <w:tabs>
        <w:tab w:val="right" w:pos="9360"/>
      </w:tabs>
    </w:pPr>
    <w:r>
      <w:rPr>
        <w:rFonts w:ascii="Calibri" w:cs="Calibri" w:eastAsia="Calibri" w:hAnsi="Calibri"/>
        <w:color w:val="5B5F66"/>
        <w:sz w:val="14"/>
        <w:szCs w:val="14"/>
      </w:rPr>
      <w:t xml:space="preserve">The Onike Framework™ — International Collaboration Prospectus</w:t>
    </w:r>
    <w:r>
      <w:rPr>
        <w:rFonts w:ascii="Calibri" w:cs="Calibri" w:eastAsia="Calibri" w:hAnsi="Calibri"/>
      </w:rPr>
      <w:t xml:space="preserve">	</w:t>
    </w:r>
    <w:r>
      <w:rPr>
        <w:rFonts w:ascii="Calibri" w:cs="Calibri" w:eastAsia="Calibri" w:hAnsi="Calibri"/>
        <w:color w:val="5B5F66"/>
        <w:sz w:val="14"/>
        <w:szCs w:val="14"/>
      </w:rPr>
      <w:t xml:space="preserve">onikeframework.org</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7E5DD" w:sz="4" w:space="6"/>
      </w:pBdr>
      <w:tabs>
        <w:tab w:val="right" w:pos="9360"/>
      </w:tabs>
    </w:pPr>
    <w:r>
      <w:rPr>
        <w:rFonts w:ascii="Calibri" w:cs="Calibri" w:eastAsia="Calibri" w:hAnsi="Calibri"/>
        <w:color w:val="5B5F66"/>
        <w:sz w:val="14"/>
        <w:szCs w:val="14"/>
      </w:rPr>
      <w:t xml:space="preserve">The Onike Framework™ — International Collaboration Prospectus</w:t>
    </w:r>
    <w:r>
      <w:rPr>
        <w:rFonts w:ascii="Calibri" w:cs="Calibri" w:eastAsia="Calibri" w:hAnsi="Calibri"/>
      </w:rPr>
      <w:t xml:space="preserve">	</w:t>
    </w:r>
    <w:r>
      <w:rPr>
        <w:rFonts w:ascii="Calibri" w:cs="Calibri" w:eastAsia="Calibri" w:hAnsi="Calibri"/>
        <w:color w:val="5B5F66"/>
        <w:sz w:val="14"/>
        <w:szCs w:val="14"/>
      </w:rPr>
      <w:t xml:space="preserve">onikeframework.org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image" Target="media/d08c701ef98034dbfc88f3004c159ca6660d5999.png"/><Relationship Id="rId12" Type="http://schemas.openxmlformats.org/officeDocument/2006/relationships/image" Target="media/9b7a8673c3d13620cf95cf7be38a7c67912b62fc.jpg"/><Relationship Id="rId13" Type="http://schemas.openxmlformats.org/officeDocument/2006/relationships/image" Target="media/9a030417f1dcc9f7e8b5c3b0aa7388aae0822750.png"/><Relationship Id="rId14" Type="http://schemas.openxmlformats.org/officeDocument/2006/relationships/image" Target="media/e18c8d356b0b36f1ab8773ff8f4fb95039f48e9d.jpg"/><Relationship Id="rId15" Type="http://schemas.openxmlformats.org/officeDocument/2006/relationships/image" Target="media/ad97f5430328ba0f98c09dec986a90c1db8f67dd.jpg"/><Relationship Id="rId16" Type="http://schemas.openxmlformats.org/officeDocument/2006/relationships/image" Target="media/167c4b986fe80f74dd186f1dac92a0c78d1de9ff.png"/><Relationship Id="rId17" Type="http://schemas.openxmlformats.org/officeDocument/2006/relationships/image" Target="media/fdd0829bfb42a7ad33d50e38ec5e29c2a8745f5c.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2026-08-08T07:15:17.177Z</dcterms:created>
  <dcterms:modified xsi:type="dcterms:W3CDTF">2026-08-08T07:15:17.180Z</dcterms:modified>
</cp:coreProperties>
</file>

<file path=docProps/custom.xml><?xml version="1.0" encoding="utf-8"?>
<Properties xmlns="http://schemas.openxmlformats.org/officeDocument/2006/custom-properties" xmlns:vt="http://schemas.openxmlformats.org/officeDocument/2006/docPropsVTypes"/>
</file>